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8" w:rsidRDefault="00041568" w:rsidP="00041568">
      <w:pPr>
        <w:bidi/>
        <w:jc w:val="center"/>
        <w:rPr>
          <w:rFonts w:hint="cs"/>
          <w:b/>
          <w:bCs/>
          <w:color w:val="003366"/>
          <w:sz w:val="44"/>
          <w:szCs w:val="44"/>
          <w:rtl/>
          <w:lang w:bidi="ar-JO"/>
        </w:rPr>
      </w:pPr>
    </w:p>
    <w:p w:rsidR="00041568" w:rsidRPr="000D1F94" w:rsidRDefault="00041568" w:rsidP="00041568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041568" w:rsidRDefault="00041568" w:rsidP="00041568">
      <w:pPr>
        <w:tabs>
          <w:tab w:val="left" w:pos="2015"/>
        </w:tabs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68" w:rsidRDefault="00041568" w:rsidP="00041568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مركز التطوير وضمان الجودة</w:t>
      </w:r>
    </w:p>
    <w:p w:rsidR="00041568" w:rsidRDefault="00041568" w:rsidP="00041568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rFonts w:hint="cs"/>
          <w:b/>
          <w:bCs/>
          <w:noProof/>
          <w:color w:val="0070C0"/>
          <w:sz w:val="44"/>
          <w:szCs w:val="44"/>
          <w:rtl/>
        </w:rPr>
        <w:pict>
          <v:rect id="_x0000_s1027" style="position:absolute;left:0;text-align:left;margin-left:-9.3pt;margin-top:24.05pt;width:82.1pt;height:100.1pt;z-index:251661312">
            <v:textbox>
              <w:txbxContent>
                <w:p w:rsidR="00041568" w:rsidRDefault="00041568" w:rsidP="00041568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47725" cy="113347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568" w:rsidRDefault="00041568" w:rsidP="0004156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41568" w:rsidRPr="00FD6733" w:rsidRDefault="00041568" w:rsidP="0004156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D673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صورة شخصية</w:t>
                  </w:r>
                </w:p>
              </w:txbxContent>
            </v:textbox>
            <w10:wrap anchorx="page"/>
          </v:rect>
        </w:pict>
      </w:r>
    </w:p>
    <w:p w:rsidR="00041568" w:rsidRPr="00054577" w:rsidRDefault="00041568" w:rsidP="00041568">
      <w:pPr>
        <w:bidi/>
        <w:jc w:val="center"/>
        <w:rPr>
          <w:rFonts w:hint="cs"/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السيرة الذاتية</w:t>
      </w:r>
    </w:p>
    <w:p w:rsidR="00041568" w:rsidRPr="00054577" w:rsidRDefault="00041568" w:rsidP="00041568">
      <w:pPr>
        <w:bidi/>
        <w:jc w:val="center"/>
        <w:rPr>
          <w:rFonts w:hint="cs"/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041568" w:rsidRPr="00F9265C" w:rsidRDefault="00041568" w:rsidP="00041568">
      <w:pPr>
        <w:bidi/>
        <w:jc w:val="center"/>
        <w:rPr>
          <w:rFonts w:hint="cs"/>
          <w:b/>
          <w:bCs/>
          <w:color w:val="003366"/>
          <w:sz w:val="44"/>
          <w:szCs w:val="44"/>
          <w:rtl/>
          <w:lang w:bidi="ar-JO"/>
        </w:rPr>
      </w:pPr>
    </w:p>
    <w:p w:rsidR="00041568" w:rsidRPr="00C7142F" w:rsidRDefault="00041568" w:rsidP="00041568">
      <w:pPr>
        <w:bidi/>
        <w:rPr>
          <w:rFonts w:hint="cs"/>
          <w:b/>
          <w:bCs/>
          <w:color w:val="003366"/>
          <w:sz w:val="12"/>
          <w:szCs w:val="12"/>
          <w:rtl/>
        </w:rPr>
      </w:pPr>
    </w:p>
    <w:p w:rsidR="00041568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041568" w:rsidRPr="00054577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134"/>
        <w:gridCol w:w="284"/>
        <w:gridCol w:w="142"/>
        <w:gridCol w:w="425"/>
        <w:gridCol w:w="992"/>
        <w:gridCol w:w="142"/>
        <w:gridCol w:w="850"/>
        <w:gridCol w:w="1560"/>
        <w:gridCol w:w="764"/>
      </w:tblGrid>
      <w:tr w:rsidR="00041568" w:rsidRPr="00EF484C" w:rsidTr="007A33F7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333" w:type="dxa"/>
            <w:gridSpan w:val="3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عبدالكريم عودة الله محمد الخرابشة 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3174" w:type="dxa"/>
            <w:gridSpan w:val="3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38935</w:t>
            </w:r>
          </w:p>
        </w:tc>
      </w:tr>
      <w:tr w:rsidR="00041568" w:rsidRPr="00EF484C" w:rsidTr="007A33F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الرتبة العلمية الحالية</w:t>
            </w:r>
          </w:p>
        </w:tc>
        <w:tc>
          <w:tcPr>
            <w:tcW w:w="8208" w:type="dxa"/>
            <w:gridSpan w:val="10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استاذ مساعد فئة ب</w:t>
            </w:r>
          </w:p>
        </w:tc>
      </w:tr>
      <w:tr w:rsidR="00041568" w:rsidRPr="00EF484C" w:rsidTr="007A33F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كلية الاميرة رحمة الجامعية </w:t>
            </w:r>
          </w:p>
        </w:tc>
        <w:tc>
          <w:tcPr>
            <w:tcW w:w="1843" w:type="dxa"/>
            <w:gridSpan w:val="4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3316" w:type="dxa"/>
            <w:gridSpan w:val="4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الانحراف والجريمة </w:t>
            </w:r>
          </w:p>
        </w:tc>
      </w:tr>
      <w:tr w:rsidR="00041568" w:rsidRPr="00EF484C" w:rsidTr="007A33F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الدراسات القانونية </w:t>
            </w: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1985" w:type="dxa"/>
            <w:gridSpan w:val="4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الدراسات القانونية </w:t>
            </w: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rPr>
                <w:rFonts w:cs="Traditional Arabic" w:hint="cs"/>
                <w:b/>
                <w:bCs/>
                <w:rtl/>
              </w:rPr>
            </w:pPr>
          </w:p>
        </w:tc>
      </w:tr>
      <w:tr w:rsidR="00041568" w:rsidRPr="00EF484C" w:rsidTr="007A33F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733" w:type="dxa"/>
            <w:gridSpan w:val="6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0799648195</w:t>
            </w:r>
          </w:p>
        </w:tc>
      </w:tr>
      <w:tr w:rsidR="00041568" w:rsidRPr="00EF484C" w:rsidTr="007A33F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41568" w:rsidRPr="00823BD4" w:rsidRDefault="00041568" w:rsidP="007A33F7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10"/>
            <w:shd w:val="clear" w:color="auto" w:fill="FFFFFF"/>
            <w:vAlign w:val="center"/>
          </w:tcPr>
          <w:p w:rsidR="00041568" w:rsidRPr="00A80EF4" w:rsidRDefault="00041568" w:rsidP="007A33F7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hyperlink r:id="rId7" w:history="1">
              <w:r w:rsidRPr="00452234">
                <w:rPr>
                  <w:rStyle w:val="Hyperlink"/>
                  <w:b/>
                  <w:bCs/>
                </w:rPr>
                <w:t>dr.abed1979@bau.edu.jo</w:t>
              </w:r>
            </w:hyperlink>
          </w:p>
        </w:tc>
      </w:tr>
    </w:tbl>
    <w:p w:rsidR="00041568" w:rsidRDefault="00041568" w:rsidP="00041568">
      <w:pPr>
        <w:tabs>
          <w:tab w:val="left" w:pos="240"/>
          <w:tab w:val="left" w:pos="1104"/>
        </w:tabs>
        <w:bidi/>
        <w:jc w:val="both"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Pr="00054577" w:rsidRDefault="00041568" w:rsidP="00041568">
      <w:pPr>
        <w:tabs>
          <w:tab w:val="left" w:pos="240"/>
          <w:tab w:val="left" w:pos="1104"/>
        </w:tabs>
        <w:bidi/>
        <w:jc w:val="both"/>
        <w:rPr>
          <w:rFonts w:hint="cs"/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 الـعـلـمـيـة</w:t>
      </w:r>
    </w:p>
    <w:p w:rsidR="00041568" w:rsidRPr="009415FB" w:rsidRDefault="00041568" w:rsidP="00041568">
      <w:pPr>
        <w:bidi/>
        <w:rPr>
          <w:rFonts w:hint="cs"/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041568" w:rsidRPr="00EF484C" w:rsidTr="007A33F7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041568" w:rsidRPr="00EF484C" w:rsidTr="007A33F7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الدكتوراه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 xml:space="preserve">معهد البحوث والدراسات العربية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الدراسات القانونية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2010</w:t>
            </w:r>
          </w:p>
        </w:tc>
      </w:tr>
      <w:tr w:rsidR="00041568" w:rsidRPr="00EF484C" w:rsidTr="007A33F7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جامعه عمان العربية للدراسات العليا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الخاص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2006</w:t>
            </w:r>
          </w:p>
        </w:tc>
      </w:tr>
      <w:tr w:rsidR="00041568" w:rsidRPr="00EF484C" w:rsidTr="007A33F7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041568" w:rsidRPr="00054577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البكالوريوس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النيلين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السودان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41568" w:rsidRPr="006378C2" w:rsidRDefault="00041568" w:rsidP="007A33F7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2003</w:t>
            </w:r>
          </w:p>
        </w:tc>
      </w:tr>
    </w:tbl>
    <w:p w:rsidR="00041568" w:rsidRPr="00C7142F" w:rsidRDefault="00041568" w:rsidP="00041568">
      <w:pPr>
        <w:bidi/>
        <w:rPr>
          <w:rFonts w:hint="cs"/>
          <w:b/>
          <w:bCs/>
          <w:color w:val="003366"/>
          <w:sz w:val="20"/>
          <w:szCs w:val="20"/>
          <w:rtl/>
          <w:lang w:bidi="ar-JO"/>
        </w:rPr>
      </w:pPr>
    </w:p>
    <w:p w:rsidR="00041568" w:rsidRPr="00054577" w:rsidRDefault="00041568" w:rsidP="0004156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041568" w:rsidRPr="001B6F83" w:rsidTr="007A33F7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041568" w:rsidRPr="001B6F83" w:rsidTr="007A33F7">
        <w:trPr>
          <w:trHeight w:val="245"/>
        </w:trPr>
        <w:tc>
          <w:tcPr>
            <w:tcW w:w="2760" w:type="dxa"/>
            <w:shd w:val="clear" w:color="auto" w:fill="FFFFFF"/>
          </w:tcPr>
          <w:p w:rsidR="00041568" w:rsidRPr="003720D9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استاذ مساعد (ب )</w:t>
            </w:r>
          </w:p>
        </w:tc>
        <w:tc>
          <w:tcPr>
            <w:tcW w:w="3402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2014</w:t>
            </w:r>
          </w:p>
        </w:tc>
        <w:tc>
          <w:tcPr>
            <w:tcW w:w="4008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جامعة البلقاء التطبيقية </w:t>
            </w:r>
          </w:p>
        </w:tc>
      </w:tr>
      <w:tr w:rsidR="00041568" w:rsidRPr="001B6F83" w:rsidTr="007A33F7">
        <w:trPr>
          <w:trHeight w:val="227"/>
        </w:trPr>
        <w:tc>
          <w:tcPr>
            <w:tcW w:w="2760" w:type="dxa"/>
            <w:shd w:val="clear" w:color="auto" w:fill="FFFFFF"/>
          </w:tcPr>
          <w:p w:rsidR="00041568" w:rsidRPr="003720D9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</w:tr>
      <w:tr w:rsidR="00041568" w:rsidRPr="001B6F83" w:rsidTr="007A33F7">
        <w:trPr>
          <w:trHeight w:val="227"/>
        </w:trPr>
        <w:tc>
          <w:tcPr>
            <w:tcW w:w="2760" w:type="dxa"/>
            <w:shd w:val="clear" w:color="auto" w:fill="FFFFFF"/>
          </w:tcPr>
          <w:p w:rsidR="00041568" w:rsidRPr="003720D9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B0F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Pr="00054577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الخبرات العملية: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3254"/>
        <w:gridCol w:w="1530"/>
        <w:gridCol w:w="1350"/>
      </w:tblGrid>
      <w:tr w:rsidR="00041568" w:rsidRPr="001B6F83" w:rsidTr="007A33F7">
        <w:trPr>
          <w:tblHeader/>
        </w:trPr>
        <w:tc>
          <w:tcPr>
            <w:tcW w:w="3962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254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041568" w:rsidRPr="001B6F83" w:rsidTr="007A33F7">
        <w:trPr>
          <w:tblHeader/>
        </w:trPr>
        <w:tc>
          <w:tcPr>
            <w:tcW w:w="39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041568" w:rsidRPr="001B6F83" w:rsidTr="007A33F7">
        <w:trPr>
          <w:tblHeader/>
        </w:trPr>
        <w:tc>
          <w:tcPr>
            <w:tcW w:w="39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EC327D">
              <w:rPr>
                <w:rFonts w:ascii="Arial" w:hAnsi="Arial" w:cs="Traditional Arabic" w:hint="cs"/>
                <w:b/>
                <w:bCs/>
                <w:rtl/>
                <w:lang w:bidi="ar-JO"/>
              </w:rPr>
              <w:t>رئيس قسم علم الاجتماع- الانحراف والجريمة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2020</w:t>
            </w:r>
          </w:p>
        </w:tc>
      </w:tr>
      <w:tr w:rsidR="00041568" w:rsidRPr="001B6F83" w:rsidTr="007A33F7">
        <w:tc>
          <w:tcPr>
            <w:tcW w:w="3962" w:type="dxa"/>
            <w:tcBorders>
              <w:right w:val="single" w:sz="4" w:space="0" w:color="000000"/>
            </w:tcBorders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F87BF7"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مساعد عميد كلية الأميرة رحمة الجامعية للشؤون الطلابية</w:t>
            </w:r>
          </w:p>
        </w:tc>
        <w:tc>
          <w:tcPr>
            <w:tcW w:w="3254" w:type="dxa"/>
            <w:tcBorders>
              <w:left w:val="single" w:sz="4" w:space="0" w:color="000000"/>
            </w:tcBorders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جامعة البلقاء التطبيقية </w:t>
            </w:r>
          </w:p>
        </w:tc>
        <w:tc>
          <w:tcPr>
            <w:tcW w:w="1530" w:type="dxa"/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2017</w:t>
            </w:r>
          </w:p>
        </w:tc>
      </w:tr>
      <w:tr w:rsidR="00041568" w:rsidRPr="001B6F83" w:rsidTr="007A33F7">
        <w:tc>
          <w:tcPr>
            <w:tcW w:w="3962" w:type="dxa"/>
            <w:tcBorders>
              <w:right w:val="single" w:sz="4" w:space="0" w:color="000000"/>
            </w:tcBorders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F87BF7"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مساعد عميد كلية الأميرة رحمة الجامعية للشؤون الطلابية</w:t>
            </w:r>
          </w:p>
        </w:tc>
        <w:tc>
          <w:tcPr>
            <w:tcW w:w="3254" w:type="dxa"/>
            <w:tcBorders>
              <w:left w:val="single" w:sz="4" w:space="0" w:color="000000"/>
            </w:tcBorders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جامعة البلقاء التطبيقية </w:t>
            </w:r>
          </w:p>
        </w:tc>
        <w:tc>
          <w:tcPr>
            <w:tcW w:w="1530" w:type="dxa"/>
            <w:shd w:val="clear" w:color="auto" w:fill="FFFFFF"/>
          </w:tcPr>
          <w:p w:rsidR="00041568" w:rsidRPr="00E46C51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:rsidR="00041568" w:rsidRPr="00E46C51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2015</w:t>
            </w:r>
          </w:p>
        </w:tc>
      </w:tr>
      <w:tr w:rsidR="00041568" w:rsidRPr="001B6F83" w:rsidTr="007A33F7">
        <w:trPr>
          <w:trHeight w:val="70"/>
        </w:trPr>
        <w:tc>
          <w:tcPr>
            <w:tcW w:w="3962" w:type="dxa"/>
            <w:tcBorders>
              <w:right w:val="single" w:sz="4" w:space="0" w:color="000000"/>
            </w:tcBorders>
            <w:shd w:val="clear" w:color="auto" w:fill="FFFFFF"/>
          </w:tcPr>
          <w:p w:rsidR="00041568" w:rsidRPr="00E46C51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رئيس لجنة تأديب الطلبة في جامعة البلقاء التطبيقية</w:t>
            </w:r>
          </w:p>
        </w:tc>
        <w:tc>
          <w:tcPr>
            <w:tcW w:w="3254" w:type="dxa"/>
            <w:tcBorders>
              <w:left w:val="single" w:sz="4" w:space="0" w:color="000000"/>
            </w:tcBorders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جامعة البلقاء التطبيقية </w:t>
            </w:r>
          </w:p>
        </w:tc>
        <w:tc>
          <w:tcPr>
            <w:tcW w:w="1530" w:type="dxa"/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:rsidR="00041568" w:rsidRPr="00F87BF7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2017</w:t>
            </w:r>
          </w:p>
        </w:tc>
      </w:tr>
      <w:tr w:rsidR="00041568" w:rsidRPr="001B6F83" w:rsidTr="007A33F7">
        <w:trPr>
          <w:trHeight w:val="70"/>
        </w:trPr>
        <w:tc>
          <w:tcPr>
            <w:tcW w:w="3962" w:type="dxa"/>
            <w:tcBorders>
              <w:right w:val="single" w:sz="4" w:space="0" w:color="000000"/>
            </w:tcBorders>
            <w:shd w:val="clear" w:color="auto" w:fill="FFFFFF"/>
          </w:tcPr>
          <w:p w:rsidR="00041568" w:rsidRPr="00E46C51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رئيس لجنة تأديب الطلبة في جامعة البلقاء التطبيقية</w:t>
            </w:r>
          </w:p>
        </w:tc>
        <w:tc>
          <w:tcPr>
            <w:tcW w:w="3254" w:type="dxa"/>
            <w:tcBorders>
              <w:left w:val="single" w:sz="4" w:space="0" w:color="000000"/>
            </w:tcBorders>
            <w:shd w:val="clear" w:color="auto" w:fill="FFFFFF"/>
          </w:tcPr>
          <w:p w:rsidR="00041568" w:rsidRPr="003720D9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جامعة البلقاء التطبيقية </w:t>
            </w:r>
          </w:p>
        </w:tc>
        <w:tc>
          <w:tcPr>
            <w:tcW w:w="1530" w:type="dxa"/>
            <w:shd w:val="clear" w:color="auto" w:fill="FFFFFF"/>
          </w:tcPr>
          <w:p w:rsidR="00041568" w:rsidRPr="00E46C51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:rsidR="00041568" w:rsidRPr="00E46C51" w:rsidRDefault="00041568" w:rsidP="007A33F7">
            <w:pPr>
              <w:bidi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 w:rsidRPr="00E46C51"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2015</w:t>
            </w:r>
          </w:p>
        </w:tc>
      </w:tr>
    </w:tbl>
    <w:p w:rsidR="00041568" w:rsidRPr="007A2003" w:rsidRDefault="00041568" w:rsidP="00041568">
      <w:pPr>
        <w:bidi/>
        <w:rPr>
          <w:rFonts w:hint="cs"/>
          <w:b/>
          <w:bCs/>
          <w:color w:val="00B0F0"/>
          <w:sz w:val="32"/>
          <w:szCs w:val="32"/>
          <w:rtl/>
        </w:rPr>
      </w:pPr>
    </w:p>
    <w:p w:rsidR="00041568" w:rsidRDefault="00041568" w:rsidP="00041568">
      <w:pPr>
        <w:tabs>
          <w:tab w:val="left" w:pos="240"/>
          <w:tab w:val="left" w:pos="1104"/>
        </w:tabs>
        <w:bidi/>
        <w:jc w:val="both"/>
        <w:rPr>
          <w:rFonts w:hint="cs"/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1843"/>
        <w:gridCol w:w="1275"/>
        <w:gridCol w:w="993"/>
        <w:gridCol w:w="1072"/>
        <w:gridCol w:w="1315"/>
      </w:tblGrid>
      <w:tr w:rsidR="00041568" w:rsidRPr="001B6F83" w:rsidTr="007A33F7">
        <w:tc>
          <w:tcPr>
            <w:tcW w:w="3537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041568" w:rsidRPr="001B6F83" w:rsidTr="007A33F7">
        <w:tc>
          <w:tcPr>
            <w:tcW w:w="3537" w:type="dxa"/>
            <w:shd w:val="clear" w:color="auto" w:fill="FFFFFF"/>
          </w:tcPr>
          <w:p w:rsidR="00041568" w:rsidRPr="004D5CBF" w:rsidRDefault="00041568" w:rsidP="007A33F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D5CBF">
              <w:rPr>
                <w:rFonts w:asciiTheme="majorBidi" w:hAnsiTheme="majorBidi" w:cstheme="majorBidi"/>
                <w:b/>
                <w:bCs/>
              </w:rPr>
              <w:t>Implement the order decisions by provisional and conservative measures issued by the arbitral tribunal on the submitted dispute in accordance with the Jordanian Law</w:t>
            </w:r>
          </w:p>
          <w:p w:rsidR="00041568" w:rsidRPr="004D5CBF" w:rsidRDefault="00041568" w:rsidP="007A33F7">
            <w:pPr>
              <w:bidi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lang w:bidi="ar-JO"/>
              </w:rPr>
              <w:t>Journal Of Law And Political Sciences</w:t>
            </w:r>
          </w:p>
        </w:tc>
        <w:tc>
          <w:tcPr>
            <w:tcW w:w="1275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الدنمارك</w:t>
            </w:r>
          </w:p>
        </w:tc>
        <w:tc>
          <w:tcPr>
            <w:tcW w:w="993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22</w:t>
            </w:r>
          </w:p>
        </w:tc>
        <w:tc>
          <w:tcPr>
            <w:tcW w:w="1315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2020</w:t>
            </w:r>
          </w:p>
        </w:tc>
      </w:tr>
      <w:tr w:rsidR="00041568" w:rsidRPr="001B6F83" w:rsidTr="007A33F7">
        <w:tc>
          <w:tcPr>
            <w:tcW w:w="3537" w:type="dxa"/>
            <w:shd w:val="clear" w:color="auto" w:fill="FFFFFF"/>
          </w:tcPr>
          <w:p w:rsidR="00041568" w:rsidRPr="003A7BB8" w:rsidRDefault="00041568" w:rsidP="007A33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7BB8">
              <w:rPr>
                <w:rFonts w:asciiTheme="majorBidi" w:hAnsiTheme="majorBidi" w:cstheme="majorBidi"/>
                <w:b/>
                <w:bCs/>
              </w:rPr>
              <w:t>The legal system for granting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A7BB8">
              <w:rPr>
                <w:rFonts w:asciiTheme="majorBidi" w:hAnsiTheme="majorBidi" w:cstheme="majorBidi"/>
                <w:b/>
                <w:bCs/>
              </w:rPr>
              <w:t>the arbitration award the writ of execution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A7BB8">
              <w:rPr>
                <w:rFonts w:asciiTheme="majorBidi" w:hAnsiTheme="majorBidi" w:cstheme="majorBidi"/>
                <w:b/>
                <w:bCs/>
              </w:rPr>
              <w:t>according to the provisions of the Jordanian Arbitration Law No. 31 of 2001 and its amendments for the year 2018</w:t>
            </w:r>
          </w:p>
          <w:p w:rsidR="00041568" w:rsidRPr="004D5CBF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shd w:val="clear" w:color="auto" w:fill="FFFFFF"/>
          </w:tcPr>
          <w:p w:rsidR="00041568" w:rsidRPr="002C269E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lang w:bidi="ar-JO"/>
              </w:rPr>
              <w:t>Journal Of Law And Political Sciences</w:t>
            </w:r>
          </w:p>
        </w:tc>
        <w:tc>
          <w:tcPr>
            <w:tcW w:w="1275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الدنمارك</w:t>
            </w:r>
          </w:p>
        </w:tc>
        <w:tc>
          <w:tcPr>
            <w:tcW w:w="993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24</w:t>
            </w:r>
          </w:p>
        </w:tc>
        <w:tc>
          <w:tcPr>
            <w:tcW w:w="1315" w:type="dxa"/>
            <w:shd w:val="clear" w:color="auto" w:fill="FFFFFF"/>
          </w:tcPr>
          <w:p w:rsidR="00041568" w:rsidRPr="00E46DE6" w:rsidRDefault="00041568" w:rsidP="007A33F7">
            <w:pPr>
              <w:bidi/>
              <w:spacing w:line="276" w:lineRule="auto"/>
              <w:jc w:val="center"/>
              <w:rPr>
                <w:rFonts w:ascii="Arial" w:hAnsi="Arial" w:cs="Traditional Arabic" w:hint="cs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2020</w:t>
            </w:r>
          </w:p>
        </w:tc>
      </w:tr>
      <w:tr w:rsidR="00041568" w:rsidRPr="001B6F83" w:rsidTr="007A33F7">
        <w:tc>
          <w:tcPr>
            <w:tcW w:w="3537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275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072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:rsidR="00041568" w:rsidRPr="001B6F83" w:rsidRDefault="00041568" w:rsidP="007A33F7">
            <w:pPr>
              <w:bidi/>
              <w:spacing w:line="276" w:lineRule="auto"/>
              <w:rPr>
                <w:rFonts w:hint="cs"/>
                <w:b/>
                <w:bCs/>
                <w:rtl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B0F0"/>
          <w:sz w:val="32"/>
          <w:szCs w:val="32"/>
          <w:rtl/>
        </w:rPr>
      </w:pPr>
    </w:p>
    <w:p w:rsidR="00041568" w:rsidRPr="00054577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2976"/>
        <w:gridCol w:w="3686"/>
        <w:gridCol w:w="1456"/>
      </w:tblGrid>
      <w:tr w:rsidR="00041568" w:rsidRPr="001B6F83" w:rsidTr="007A33F7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41568" w:rsidRPr="001B6F83" w:rsidTr="007A33F7">
        <w:tc>
          <w:tcPr>
            <w:tcW w:w="1978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1978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1978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</w:p>
    <w:p w:rsidR="00041568" w:rsidRPr="00E45BED" w:rsidRDefault="00041568" w:rsidP="00041568">
      <w:pPr>
        <w:jc w:val="right"/>
        <w:rPr>
          <w:b/>
          <w:bCs/>
          <w:color w:val="0070C0"/>
          <w:sz w:val="32"/>
          <w:szCs w:val="32"/>
          <w:lang w:bidi="ar-JO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6"/>
        <w:gridCol w:w="2122"/>
        <w:gridCol w:w="2810"/>
        <w:gridCol w:w="2810"/>
      </w:tblGrid>
      <w:tr w:rsidR="00041568" w:rsidRPr="006E310E" w:rsidTr="007A33F7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041568" w:rsidRPr="006E310E" w:rsidTr="007A33F7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  <w:tr w:rsidR="00041568" w:rsidRPr="006E310E" w:rsidTr="007A33F7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  <w:lang w:bidi="ar-JO"/>
        </w:rPr>
      </w:pPr>
    </w:p>
    <w:p w:rsidR="00041568" w:rsidRPr="00054577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041568" w:rsidRPr="001B6F83" w:rsidTr="007A33F7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tabs>
                <w:tab w:val="center" w:pos="3050"/>
                <w:tab w:val="left" w:pos="5080"/>
              </w:tabs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</w:p>
    <w:p w:rsidR="00041568" w:rsidRPr="00E45BED" w:rsidRDefault="00041568" w:rsidP="00041568">
      <w:pPr>
        <w:bidi/>
        <w:jc w:val="both"/>
        <w:rPr>
          <w:rFonts w:hint="cs"/>
          <w:b/>
          <w:bCs/>
          <w:color w:val="0070C0"/>
          <w:sz w:val="32"/>
          <w:szCs w:val="32"/>
          <w:rtl/>
          <w:lang w:bidi="ar-JO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041568" w:rsidRPr="0007314E" w:rsidTr="007A33F7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041568" w:rsidRPr="00E45BED" w:rsidRDefault="00041568" w:rsidP="007A33F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41568" w:rsidRPr="0007314E" w:rsidTr="007A33F7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041568" w:rsidRPr="0007314E" w:rsidTr="007A33F7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041568" w:rsidRPr="0007314E" w:rsidTr="007A33F7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041568" w:rsidRPr="0029681D" w:rsidRDefault="00041568" w:rsidP="007A33F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  <w:lang w:bidi="ar-JO"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Default="00041568" w:rsidP="00041568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:rsidR="00041568" w:rsidRPr="00054577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1559"/>
        <w:gridCol w:w="4433"/>
      </w:tblGrid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F01658">
              <w:rPr>
                <w:rFonts w:hint="cs"/>
                <w:b/>
                <w:bCs/>
                <w:rtl/>
              </w:rPr>
              <w:t>القانون الدولي الخاص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F01658">
              <w:rPr>
                <w:rFonts w:hint="cs"/>
                <w:b/>
                <w:bCs/>
                <w:rtl/>
              </w:rPr>
              <w:t>2010/2011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F01658">
              <w:rPr>
                <w:rFonts w:hint="cs"/>
                <w:b/>
                <w:bCs/>
                <w:rtl/>
              </w:rPr>
              <w:t>جامعة الزرقاء الاهلية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التحقيقات والادلة الجنائية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F01658" w:rsidRDefault="00041568" w:rsidP="007A33F7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سياسات كبح الجريمة ونظرية الامن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العلوم الشرطية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8A5CF2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قضايا امنية معاصرة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8A5CF2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الادوية والجريمة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8A5CF2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التحقيقات والادلة الجنائية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8A5CF2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عقوبات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B92C21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عقوبات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B92C21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المدخل الى القانون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B92C21" w:rsidRDefault="00041568" w:rsidP="007A33F7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سياسات كبح الجريمة ونظرية الامن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F2F2F2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نظريات علم الجريمة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F50D65"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Pr="00F50D65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انحراف الاحداث والنزلاء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عقوبات 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ميداني /تخصص انحراف وجريمة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مدخل الى الدستور الاردني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543B60"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القضائي والقانون الدستوري قي الاردن </w:t>
            </w:r>
          </w:p>
        </w:tc>
        <w:tc>
          <w:tcPr>
            <w:tcW w:w="1559" w:type="dxa"/>
            <w:shd w:val="clear" w:color="auto" w:fill="FFFFFF"/>
          </w:tcPr>
          <w:p w:rsidR="00041568" w:rsidRPr="0003273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القضائي والقانون الدستوري في الاردن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الادوية والجريمة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2B5005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Pr="002B5005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عقوبات </w:t>
            </w: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BD4E62"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BD4E62"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القضائي والقانون الدستوري في الاردن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BD4E62"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BD4E62"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BD4E62">
              <w:rPr>
                <w:rFonts w:hint="cs"/>
                <w:b/>
                <w:bCs/>
                <w:rtl/>
                <w:lang w:bidi="ar-JO"/>
              </w:rPr>
              <w:t>2015/2016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Pr="00411F7C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القضائي والقانون الدستوري في الاردن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القانون والمجتمع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القضائي والقانون الدستوري في الاردن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DF03F6">
              <w:rPr>
                <w:rFonts w:hint="cs"/>
                <w:b/>
                <w:bCs/>
                <w:rtl/>
              </w:rPr>
              <w:t>2016/2017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Pr="00DF03F6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عقوبات 2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793008">
              <w:rPr>
                <w:rFonts w:hint="cs"/>
                <w:b/>
                <w:bCs/>
                <w:rtl/>
                <w:lang w:bidi="ar-JO"/>
              </w:rPr>
              <w:t>2017/2018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القانون والمجتمع</w:t>
            </w:r>
          </w:p>
        </w:tc>
        <w:tc>
          <w:tcPr>
            <w:tcW w:w="1559" w:type="dxa"/>
            <w:shd w:val="clear" w:color="auto" w:fill="FFFFFF"/>
          </w:tcPr>
          <w:p w:rsidR="00041568" w:rsidRPr="00793008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قضايا امنية معاصرة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القانون والمجتمع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التحقيقات والادلة الجنائية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 الجنائي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السياسة العقابية الحديثة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1713AB"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Pr="001713AB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القانون والمجتمع</w:t>
            </w:r>
          </w:p>
        </w:tc>
        <w:tc>
          <w:tcPr>
            <w:tcW w:w="1559" w:type="dxa"/>
            <w:shd w:val="clear" w:color="auto" w:fill="FFFFFF"/>
          </w:tcPr>
          <w:p w:rsidR="00041568" w:rsidRPr="001713AB" w:rsidRDefault="00041568" w:rsidP="007A33F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العلوم الشرطية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ميداني /تخصص انحراف وجريمة 2015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ميداني /تخصص انحراف وجريمة2011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Default="00041568" w:rsidP="007A33F7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ميداني /تخصص انحراف وجريمة 2015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القانون والمجتمع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مدخل الى القانون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العولمة والجريمة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  <w:tr w:rsidR="00041568" w:rsidRPr="001B6F83" w:rsidTr="007A33F7">
        <w:tc>
          <w:tcPr>
            <w:tcW w:w="4104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ميداني /تخصص انحراف وجريمة 2015</w:t>
            </w:r>
          </w:p>
        </w:tc>
        <w:tc>
          <w:tcPr>
            <w:tcW w:w="1559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A57CAF">
              <w:rPr>
                <w:rFonts w:hint="cs"/>
                <w:b/>
                <w:bCs/>
                <w:rtl/>
                <w:lang w:bidi="ar-JO"/>
              </w:rPr>
              <w:t>2019/2020</w:t>
            </w:r>
          </w:p>
        </w:tc>
        <w:tc>
          <w:tcPr>
            <w:tcW w:w="4433" w:type="dxa"/>
            <w:shd w:val="clear" w:color="auto" w:fill="FFFFFF"/>
          </w:tcPr>
          <w:p w:rsidR="00041568" w:rsidRDefault="00041568" w:rsidP="007A33F7">
            <w:pPr>
              <w:jc w:val="center"/>
            </w:pPr>
            <w:r w:rsidRPr="003F04CB">
              <w:rPr>
                <w:rFonts w:hint="cs"/>
                <w:b/>
                <w:bCs/>
                <w:rtl/>
              </w:rPr>
              <w:t>جامعة البلقاء التطبيقية/ كلية الاميرة رحمة الجامعية</w:t>
            </w:r>
          </w:p>
        </w:tc>
      </w:tr>
    </w:tbl>
    <w:p w:rsidR="00041568" w:rsidRPr="00054577" w:rsidRDefault="00041568" w:rsidP="0004156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041568" w:rsidRPr="001B6F83" w:rsidTr="007A33F7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4156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B0F0"/>
          <w:sz w:val="32"/>
          <w:szCs w:val="32"/>
          <w:rtl/>
        </w:rPr>
      </w:pPr>
    </w:p>
    <w:p w:rsidR="00041568" w:rsidRPr="00054577" w:rsidRDefault="00041568" w:rsidP="00041568">
      <w:pPr>
        <w:tabs>
          <w:tab w:val="left" w:pos="240"/>
          <w:tab w:val="left" w:pos="1104"/>
        </w:tabs>
        <w:bidi/>
        <w:jc w:val="both"/>
        <w:rPr>
          <w:rFonts w:hint="cs"/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041568" w:rsidRPr="001B6F83" w:rsidTr="007A33F7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041568" w:rsidRPr="00054577" w:rsidRDefault="00041568" w:rsidP="007A33F7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41568" w:rsidRPr="001B6F83" w:rsidTr="007A33F7">
        <w:tc>
          <w:tcPr>
            <w:tcW w:w="3679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3679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41568" w:rsidRPr="001B6F83" w:rsidTr="007A33F7">
        <w:tc>
          <w:tcPr>
            <w:tcW w:w="3679" w:type="dxa"/>
            <w:shd w:val="clear" w:color="auto" w:fill="FFFFFF"/>
          </w:tcPr>
          <w:p w:rsidR="00041568" w:rsidRPr="001B6F83" w:rsidRDefault="00041568" w:rsidP="007A33F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041568" w:rsidRPr="001B6F83" w:rsidRDefault="00041568" w:rsidP="007A33F7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41568" w:rsidRDefault="00041568" w:rsidP="00041568">
      <w:pPr>
        <w:bidi/>
        <w:rPr>
          <w:b/>
          <w:bCs/>
          <w:color w:val="00B0F0"/>
          <w:sz w:val="32"/>
          <w:szCs w:val="32"/>
          <w:rtl/>
        </w:rPr>
      </w:pPr>
    </w:p>
    <w:p w:rsidR="00041568" w:rsidRDefault="00041568" w:rsidP="00041568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 </w:t>
      </w:r>
      <w:r>
        <w:rPr>
          <w:rFonts w:hint="cs"/>
          <w:b/>
          <w:bCs/>
          <w:color w:val="003366"/>
          <w:sz w:val="36"/>
          <w:szCs w:val="36"/>
          <w:rtl/>
        </w:rPr>
        <w:t>25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/  </w:t>
      </w:r>
      <w:r>
        <w:rPr>
          <w:rFonts w:hint="cs"/>
          <w:b/>
          <w:bCs/>
          <w:color w:val="003366"/>
          <w:sz w:val="36"/>
          <w:szCs w:val="36"/>
          <w:rtl/>
        </w:rPr>
        <w:t>5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/      20</w:t>
      </w:r>
      <w:r>
        <w:rPr>
          <w:rFonts w:hint="cs"/>
          <w:b/>
          <w:bCs/>
          <w:color w:val="003366"/>
          <w:sz w:val="36"/>
          <w:szCs w:val="36"/>
          <w:rtl/>
        </w:rPr>
        <w:t>20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>م.</w:t>
      </w:r>
    </w:p>
    <w:p w:rsidR="00041568" w:rsidRPr="00D00089" w:rsidRDefault="00041568" w:rsidP="00041568">
      <w:pPr>
        <w:bidi/>
        <w:ind w:left="27"/>
        <w:jc w:val="both"/>
        <w:rPr>
          <w:rFonts w:hint="cs"/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041568" w:rsidRPr="00D00089" w:rsidRDefault="00041568" w:rsidP="00041568">
      <w:pPr>
        <w:bidi/>
        <w:ind w:left="27"/>
        <w:jc w:val="both"/>
        <w:rPr>
          <w:rFonts w:hint="cs"/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041568" w:rsidRPr="00026A61" w:rsidRDefault="00041568" w:rsidP="00041568">
      <w:pPr>
        <w:bidi/>
        <w:rPr>
          <w:rFonts w:hint="cs"/>
          <w:b/>
          <w:bCs/>
          <w:color w:val="003366"/>
          <w:sz w:val="36"/>
          <w:szCs w:val="36"/>
          <w:rtl/>
          <w:lang w:bidi="ar-JO"/>
        </w:rPr>
      </w:pPr>
    </w:p>
    <w:p w:rsidR="001324A2" w:rsidRDefault="00304329"/>
    <w:sectPr w:rsidR="001324A2" w:rsidSect="00C7142F">
      <w:footerReference w:type="default" r:id="rId8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304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568" w:rsidRPr="00041568">
      <w:rPr>
        <w:rFonts w:cs="Calibri"/>
        <w:noProof/>
        <w:lang w:val="ar-SA"/>
      </w:rPr>
      <w:t>3</w:t>
    </w:r>
    <w:r>
      <w:fldChar w:fldCharType="end"/>
    </w:r>
  </w:p>
  <w:p w:rsidR="00396E8F" w:rsidRDefault="0030432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68"/>
    <w:rsid w:val="00041568"/>
    <w:rsid w:val="00304329"/>
    <w:rsid w:val="00517123"/>
    <w:rsid w:val="00871C2C"/>
    <w:rsid w:val="00A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1568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041568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rsid w:val="00041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.abed1979@bau.edu.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2020-05-25T12:02:00Z</dcterms:created>
  <dcterms:modified xsi:type="dcterms:W3CDTF">2020-05-25T12:09:00Z</dcterms:modified>
</cp:coreProperties>
</file>